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0" w:rsidRPr="00A072E0" w:rsidRDefault="00D103CA" w:rsidP="002A4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06" w:rsidRPr="0090215A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DA4806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DA4806" w:rsidRPr="00527680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806" w:rsidRPr="005B566F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DA4806" w:rsidRPr="00527680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806" w:rsidRPr="00527680" w:rsidRDefault="00DA4806" w:rsidP="00CF49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DA4806" w:rsidRPr="005B566F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527680" w:rsidRPr="00A072E0" w:rsidRDefault="00527680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93E" w:rsidRPr="00A072E0" w:rsidRDefault="00F2393E" w:rsidP="002A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О возмещении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</w:t>
      </w:r>
    </w:p>
    <w:p w:rsidR="00F2393E" w:rsidRPr="00A072E0" w:rsidRDefault="00F2393E" w:rsidP="002A4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3E" w:rsidRDefault="00F2393E" w:rsidP="002A4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08  ноября 2007 года №</w:t>
      </w:r>
      <w:r w:rsidR="00A072E0" w:rsidRPr="00A072E0">
        <w:rPr>
          <w:rFonts w:ascii="Times New Roman" w:hAnsi="Times New Roman"/>
          <w:sz w:val="28"/>
          <w:szCs w:val="28"/>
        </w:rPr>
        <w:t xml:space="preserve"> </w:t>
      </w:r>
      <w:r w:rsidRPr="00A072E0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 января 2020 №</w:t>
      </w:r>
      <w:r w:rsidR="00A072E0" w:rsidRPr="00A072E0">
        <w:rPr>
          <w:rFonts w:ascii="Times New Roman" w:hAnsi="Times New Roman"/>
          <w:sz w:val="28"/>
          <w:szCs w:val="28"/>
        </w:rPr>
        <w:t xml:space="preserve"> </w:t>
      </w:r>
      <w:r w:rsidRPr="00A072E0">
        <w:rPr>
          <w:rFonts w:ascii="Times New Roman" w:hAnsi="Times New Roman"/>
          <w:sz w:val="28"/>
          <w:szCs w:val="28"/>
        </w:rPr>
        <w:t xml:space="preserve"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в целях компенсации ущерба, причиняемого тяжеловесного транспортными средствами при движении по автомобильным дорогам общего </w:t>
      </w:r>
      <w:r w:rsidRPr="00DA4806">
        <w:rPr>
          <w:rFonts w:ascii="Times New Roman" w:hAnsi="Times New Roman"/>
          <w:sz w:val="28"/>
          <w:szCs w:val="28"/>
        </w:rPr>
        <w:t xml:space="preserve">пользования местного значения Каларского муниципального округа, </w:t>
      </w:r>
      <w:r w:rsidRPr="00DA4806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</w:t>
      </w:r>
      <w:r w:rsidR="00A072E0" w:rsidRPr="00DA4806">
        <w:rPr>
          <w:rFonts w:ascii="Times New Roman" w:hAnsi="Times New Roman"/>
          <w:sz w:val="28"/>
          <w:szCs w:val="28"/>
          <w:lang w:eastAsia="ru-RU"/>
        </w:rPr>
        <w:t>32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Устава Каларского муниципального округа</w:t>
      </w:r>
      <w:r w:rsidR="00DA4806">
        <w:rPr>
          <w:rFonts w:ascii="Times New Roman" w:hAnsi="Times New Roman"/>
          <w:sz w:val="28"/>
          <w:szCs w:val="28"/>
          <w:lang w:eastAsia="ru-RU"/>
        </w:rPr>
        <w:t>,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CC3" w:rsidRPr="00A072E0">
        <w:rPr>
          <w:rFonts w:ascii="Times New Roman" w:hAnsi="Times New Roman"/>
          <w:sz w:val="28"/>
          <w:szCs w:val="28"/>
        </w:rPr>
        <w:t>администрация</w:t>
      </w:r>
      <w:r w:rsidRPr="00A072E0">
        <w:rPr>
          <w:rFonts w:ascii="Times New Roman" w:hAnsi="Times New Roman"/>
          <w:sz w:val="28"/>
          <w:szCs w:val="28"/>
        </w:rPr>
        <w:t xml:space="preserve"> Каларского муниципального округа</w:t>
      </w:r>
      <w:r w:rsidR="00DA4806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3B0FBE">
        <w:rPr>
          <w:rFonts w:ascii="Times New Roman" w:hAnsi="Times New Roman"/>
          <w:sz w:val="28"/>
          <w:szCs w:val="28"/>
        </w:rPr>
        <w:t xml:space="preserve"> 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22004" w:rsidRPr="00A072E0" w:rsidRDefault="00D22004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806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</w:t>
      </w:r>
      <w:r w:rsidRPr="00DA4806">
        <w:rPr>
          <w:rFonts w:ascii="Times New Roman" w:hAnsi="Times New Roman"/>
          <w:sz w:val="28"/>
          <w:szCs w:val="28"/>
          <w:lang w:eastAsia="ru-RU"/>
        </w:rPr>
        <w:t>возмещения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CC3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. Определить размер вреда, причиняемого тяжеловесными и крупногабаритными транспортными средствами при движении таких средств по автомобильным дорогам общего пользования местного значения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Каларского муниципального округа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соответствии с пока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зателями, согласно приложения № 1 к настоящим Правилам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24CC3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 Установить, что расчет, начисления и взимания платы в счет возмещения вреда, причиняемого транспортным средством, осуществляющим перевозки тяжеловесных грузов, при движении таких средств по автомобильным дорогам общего пользования местного значения на территории Каларского муниципального округа, в соответствии с показателями, утвержденными в приложении Правил</w:t>
      </w:r>
      <w:r w:rsidR="00724CC3" w:rsidRPr="00A072E0">
        <w:t xml:space="preserve"> 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возмещения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края, осуществляется 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отделом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0FB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жизнеобеспечения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дорожного хозяйства, транспорта и связи адм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инистрации Каларского муниципального округа. Средства, полученные в качестве платежей в счет возмещения вреда, подлежат зачислению в бюджет Каларского муниципального округа. </w:t>
      </w:r>
    </w:p>
    <w:p w:rsidR="00724CC3" w:rsidRPr="00A072E0" w:rsidRDefault="00114A7C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. Все средства, полученные в порядке компенсации ущерба, наносимого автомобильным транспортом, перевозящим тяжеловесные грузы, использовать в качестве дополнительного источника финансирования работ по ремонту и восстановлению автомобильных дорог общего пользования местного значения Каларского муниципального округа Забайкальского края.</w:t>
      </w:r>
    </w:p>
    <w:p w:rsidR="00724CC3" w:rsidRPr="00A072E0" w:rsidRDefault="00114A7C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B0FBE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724CC3" w:rsidRPr="00252029">
        <w:rPr>
          <w:rFonts w:ascii="Times New Roman" w:hAnsi="Times New Roman"/>
          <w:sz w:val="28"/>
          <w:szCs w:val="28"/>
        </w:rPr>
        <w:t xml:space="preserve"> администрации муниципа</w:t>
      </w:r>
      <w:r w:rsidRPr="00252029">
        <w:rPr>
          <w:rFonts w:ascii="Times New Roman" w:hAnsi="Times New Roman"/>
          <w:sz w:val="28"/>
          <w:szCs w:val="28"/>
        </w:rPr>
        <w:t xml:space="preserve">льного района «Каларский район» </w:t>
      </w:r>
      <w:r w:rsidR="00724CC3" w:rsidRPr="00252029">
        <w:rPr>
          <w:rFonts w:ascii="Times New Roman" w:hAnsi="Times New Roman"/>
          <w:sz w:val="28"/>
          <w:szCs w:val="28"/>
        </w:rPr>
        <w:t>от 09</w:t>
      </w:r>
      <w:r w:rsidR="003B0FBE">
        <w:rPr>
          <w:rFonts w:ascii="Times New Roman" w:hAnsi="Times New Roman"/>
          <w:sz w:val="28"/>
          <w:szCs w:val="28"/>
        </w:rPr>
        <w:t xml:space="preserve"> января </w:t>
      </w:r>
      <w:r w:rsidR="00724CC3" w:rsidRPr="00252029">
        <w:rPr>
          <w:rFonts w:ascii="Times New Roman" w:hAnsi="Times New Roman"/>
          <w:sz w:val="28"/>
          <w:szCs w:val="28"/>
        </w:rPr>
        <w:t>2017 г</w:t>
      </w:r>
      <w:r w:rsidR="003B0FBE">
        <w:rPr>
          <w:rFonts w:ascii="Times New Roman" w:hAnsi="Times New Roman"/>
          <w:sz w:val="28"/>
          <w:szCs w:val="28"/>
        </w:rPr>
        <w:t>ода</w:t>
      </w:r>
      <w:r w:rsidR="00724CC3" w:rsidRPr="00252029">
        <w:rPr>
          <w:rFonts w:ascii="Times New Roman" w:hAnsi="Times New Roman"/>
          <w:sz w:val="28"/>
          <w:szCs w:val="28"/>
        </w:rPr>
        <w:t xml:space="preserve"> </w:t>
      </w:r>
      <w:r w:rsidR="00D22004">
        <w:rPr>
          <w:rFonts w:ascii="Times New Roman" w:hAnsi="Times New Roman"/>
          <w:sz w:val="28"/>
          <w:szCs w:val="28"/>
        </w:rPr>
        <w:t xml:space="preserve">№ </w:t>
      </w:r>
      <w:r w:rsidRPr="00252029">
        <w:rPr>
          <w:rFonts w:ascii="Times New Roman" w:hAnsi="Times New Roman"/>
          <w:sz w:val="28"/>
          <w:szCs w:val="28"/>
        </w:rPr>
        <w:t xml:space="preserve">01 </w:t>
      </w:r>
      <w:r w:rsidR="00724CC3" w:rsidRPr="00252029">
        <w:rPr>
          <w:rFonts w:ascii="Times New Roman" w:hAnsi="Times New Roman"/>
          <w:sz w:val="28"/>
          <w:szCs w:val="28"/>
        </w:rPr>
        <w:t>«О возмещении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района «Каларский район</w:t>
      </w:r>
      <w:r w:rsidR="00724CC3" w:rsidRPr="005D665D">
        <w:rPr>
          <w:rFonts w:ascii="Times New Roman" w:hAnsi="Times New Roman"/>
          <w:sz w:val="28"/>
          <w:szCs w:val="28"/>
        </w:rPr>
        <w:t>»».</w:t>
      </w:r>
    </w:p>
    <w:p w:rsidR="00724CC3" w:rsidRPr="00A072E0" w:rsidRDefault="00724CC3" w:rsidP="002A4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072E0">
        <w:rPr>
          <w:rFonts w:ascii="Times New Roman" w:hAnsi="Times New Roman"/>
          <w:sz w:val="28"/>
          <w:szCs w:val="28"/>
        </w:rPr>
        <w:t xml:space="preserve">Настоящее </w:t>
      </w:r>
      <w:r w:rsidR="00114A7C">
        <w:rPr>
          <w:rFonts w:ascii="Times New Roman" w:hAnsi="Times New Roman"/>
          <w:sz w:val="28"/>
          <w:szCs w:val="28"/>
        </w:rPr>
        <w:t>постановление</w:t>
      </w:r>
      <w:r w:rsidRPr="00A072E0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 на официальном сайте Каларского муниципального округа Забайкальского края</w:t>
      </w:r>
      <w:r w:rsidR="003B0FBE">
        <w:rPr>
          <w:rFonts w:ascii="Times New Roman" w:hAnsi="Times New Roman"/>
          <w:sz w:val="28"/>
          <w:szCs w:val="28"/>
        </w:rPr>
        <w:t>.</w:t>
      </w: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263446" w:rsidP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муниципального </w:t>
      </w:r>
    </w:p>
    <w:p w:rsidR="00B4074C" w:rsidRPr="00A072E0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263446" w:rsidRPr="00A072E0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D22004" w:rsidRDefault="00D220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22004" w:rsidRPr="002A4696" w:rsidRDefault="00D22004" w:rsidP="002A469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УТВЕРЖДЕНЫ:</w:t>
      </w:r>
    </w:p>
    <w:p w:rsidR="00D22004" w:rsidRPr="002A4696" w:rsidRDefault="00D22004" w:rsidP="002A46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t>к постановлению администрации Каларского</w:t>
      </w:r>
    </w:p>
    <w:p w:rsidR="00D22004" w:rsidRPr="002A4696" w:rsidRDefault="00D22004" w:rsidP="002A46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округа Забайкальского края</w:t>
      </w:r>
    </w:p>
    <w:p w:rsidR="00D22004" w:rsidRDefault="00D22004" w:rsidP="00D2200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72E0" w:rsidRPr="00A072E0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Правила </w:t>
      </w:r>
    </w:p>
    <w:p w:rsidR="00114A7C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>возмещения вреда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, </w:t>
      </w:r>
      <w:r w:rsidRPr="00A072E0">
        <w:rPr>
          <w:rFonts w:ascii="Times New Roman" w:hAnsi="Times New Roman"/>
          <w:b/>
          <w:sz w:val="28"/>
          <w:szCs w:val="28"/>
        </w:rPr>
        <w:t>причиняемого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 тяжеловесными</w:t>
      </w:r>
      <w:r w:rsidR="00724CC3" w:rsidRPr="00A072E0">
        <w:rPr>
          <w:rFonts w:ascii="Times New Roman" w:hAnsi="Times New Roman"/>
          <w:b/>
          <w:sz w:val="28"/>
          <w:szCs w:val="28"/>
        </w:rPr>
        <w:t xml:space="preserve"> </w:t>
      </w:r>
      <w:r w:rsidRPr="00A072E0">
        <w:rPr>
          <w:rFonts w:ascii="Times New Roman" w:hAnsi="Times New Roman"/>
          <w:b/>
          <w:sz w:val="28"/>
          <w:szCs w:val="28"/>
        </w:rPr>
        <w:t>т</w:t>
      </w:r>
      <w:r w:rsidR="00815E3D" w:rsidRPr="00A072E0">
        <w:rPr>
          <w:rFonts w:ascii="Times New Roman" w:hAnsi="Times New Roman"/>
          <w:b/>
          <w:sz w:val="28"/>
          <w:szCs w:val="28"/>
        </w:rPr>
        <w:t xml:space="preserve">ранспортными 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средствами при движении по автомобильным дорогам </w:t>
      </w:r>
    </w:p>
    <w:p w:rsidR="00114A7C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 xml:space="preserve">общего пользования местного значения </w:t>
      </w:r>
    </w:p>
    <w:p w:rsidR="00275E6F" w:rsidRPr="00A072E0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</w:p>
    <w:p w:rsidR="00815E3D" w:rsidRPr="00A072E0" w:rsidRDefault="00815E3D" w:rsidP="00D22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15E3D" w:rsidRPr="00A072E0" w:rsidRDefault="00815E3D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15E3D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>1. Настоящи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е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Правила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устанавливают порядок возмещения вреда, причиняемого тяжеловесными транспортными средствами (далее - транспортные средства) 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при движении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</w:t>
      </w:r>
      <w:r w:rsidR="00114A7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 (далее – автомобильным дорогам), а также порядок определения размера такого вреда и взимания платы.</w:t>
      </w:r>
    </w:p>
    <w:p w:rsidR="00815E3D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распространяется на владельцев или пользователей автомобильного транспорта, в том числе иностранных,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передвигающихся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округа.</w:t>
      </w:r>
    </w:p>
    <w:p w:rsidR="00063417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3. Тяжеловесными признаются транспортные средства, масса которых с грузом или без груза и (или) осевая масса на каждую ось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 xml:space="preserve">превышает значения, </w:t>
      </w:r>
      <w:r w:rsidR="00CB6075" w:rsidRPr="00A072E0">
        <w:rPr>
          <w:rFonts w:ascii="Times New Roman" w:hAnsi="Times New Roman"/>
          <w:sz w:val="28"/>
          <w:szCs w:val="28"/>
          <w:lang w:eastAsia="ru-RU"/>
        </w:rPr>
        <w:t>которые устанавливаются Правительством Российской Федерации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063417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4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Передвижение тяжеловесных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транспортных средств по автомобильным дорогам может осуществляться только на основании разрешений, выдаваемых админ</w:t>
      </w:r>
      <w:r w:rsidR="00CB6075" w:rsidRPr="00A072E0">
        <w:rPr>
          <w:rFonts w:ascii="Times New Roman" w:hAnsi="Times New Roman"/>
          <w:sz w:val="28"/>
          <w:szCs w:val="28"/>
          <w:lang w:eastAsia="ru-RU"/>
        </w:rPr>
        <w:t>истрацией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 xml:space="preserve"> Каларского муниципального округа.</w:t>
      </w:r>
    </w:p>
    <w:p w:rsidR="00063417" w:rsidRPr="00A072E0" w:rsidRDefault="00063417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Не требуется разрешения для проезда тяжеловесных автобусов, движущихся по установленным маршрутам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5. Разрешение на перевозку тяжеловесных грузов по автомобильным дорогам выдается грузоперевозчикам только при предъявлении ими копии платежного поручения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, подтверждающего оплату за провоз тяжеловесных грузов по автомобильным дорогам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общего пользования местного значения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1094A" w:rsidRPr="00A072E0" w:rsidRDefault="00E1094A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Бланки разрешения являются документами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 xml:space="preserve"> строгой отчетности</w:t>
      </w:r>
      <w:r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6. При перевозке тяжеловесных грузов по автомобильным дорогам автотранспортом, используемым для перевозки тяжеловесных и крупногабаритных грузов в целях предупреждения и ликвидации чрезвычайных ситуаций или последствий стихийных действий, а также тяжеловесных грузов оборонного значения при выполнении специальных заданий по маршрутам, согласованным с уполномоченной организацией, плата не взимается.</w:t>
      </w:r>
    </w:p>
    <w:p w:rsidR="00E1094A" w:rsidRPr="00A072E0" w:rsidRDefault="00E1094A" w:rsidP="00D22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1094A" w:rsidRPr="00A072E0" w:rsidRDefault="00E1094A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исчисления платы за 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возмещение 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>причинен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>ного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 вреда тяжеловесными транспортными средствами при движении по ав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>томобильным дорогам общего пользования местного значения Каларского муниципального района.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>Размер платы за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возмещение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причинен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ного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вреда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 при движении по дорогам общего пользования местного значения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, взимаемой с владельцев или пользователей автомобильного транспорта, должен обеспечить безусловное и полное возмещение ущерба, наносимого автомобильным дорогам и дорожным сооружениям данным видом перевозок. </w:t>
      </w:r>
    </w:p>
    <w:p w:rsidR="0074009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. Размер платы за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причиненного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вреда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 при движении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 по дорогам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рассчитывается с учетом:</w:t>
      </w:r>
    </w:p>
    <w:p w:rsidR="00ED20D2" w:rsidRDefault="0074009A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</w:t>
      </w:r>
      <w:hyperlink r:id="rId10" w:history="1">
        <w:r w:rsidRPr="00A072E0">
          <w:rPr>
            <w:rFonts w:ascii="Times New Roman" w:hAnsi="Times New Roman"/>
            <w:sz w:val="28"/>
            <w:szCs w:val="28"/>
            <w:lang w:eastAsia="ru-RU"/>
          </w:rPr>
          <w:t>статьей 30</w:t>
        </w:r>
      </w:hyperlink>
      <w:r w:rsidRPr="00A072E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значений:</w:t>
      </w:r>
    </w:p>
    <w:p w:rsidR="00ED20D2" w:rsidRDefault="00ED20D2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допустимой массы транспортного средства;</w:t>
      </w:r>
    </w:p>
    <w:p w:rsidR="00ED20D2" w:rsidRDefault="00ED20D2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допустимой нагрузки на ось транспортного средства;</w:t>
      </w:r>
    </w:p>
    <w:p w:rsidR="00ED20D2" w:rsidRDefault="00121657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б) протяженности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667DF4" w:rsidRPr="00A072E0" w:rsidRDefault="00121657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в) базового компенсационного индекса текущего года,</w:t>
      </w:r>
      <w:r w:rsidR="00ED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и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определяется согласно утвержденным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Показателям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платы возмещения вреда, причиняемого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при движении по автомобильным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дорогам общего пользования местного значения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1)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Расчет сумм платежей производится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отдело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ЖКХ, дорожного хозяйства, транспорта и связи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администрации Каларского муниципального округа Забайкальского края.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>. Размеры платы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возмещени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е вреда, причиненного тяжеловесных транспортных средств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автодорогам сообщается заявителю не позднее, чем за три дня до окончания сроков согласования маршрута.</w:t>
      </w:r>
    </w:p>
    <w:p w:rsidR="00ED20D2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20D2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3. Порядок зачисления, учета и использования средств от взимания платы за 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>возмещение вреда, причиненного тяжеловесными транспортными средствами при движении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округа.</w:t>
      </w:r>
    </w:p>
    <w:p w:rsidR="008177F9" w:rsidRPr="00ED20D2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Плата за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возмещение вреда, причин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енного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перечисляется в бюджет Каларского муниципального округа Забайкальского края по коду в соответствии с бюджетной классификацией.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Средства, полученные от взимания платы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за возмещение вреда, причиняемого тяжеловесными 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дорогам, направляются на ремонт указанных дорог в целях компенсации ущерба, наносимого им в результате провоза тяжеловесных грузов, а также на возмещение затрат, связанных с организацией пропуска движения, и затрат, связанных с осуществлением надзора за состоянием автомобильных дорог общего пользования и сооружений на них, включая контроль и техническое обследование.</w:t>
      </w:r>
    </w:p>
    <w:p w:rsidR="008177F9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3. Средства, полученные от взимания платы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возмещение вреда, причиняемого тяжеловесными 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дорогам, имеют специальное назначение и не подлежат изъятию или расходованию на нужды, не предусмотренные настоящим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равилами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D20D2" w:rsidRDefault="00ED20D2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D2" w:rsidRDefault="00ED20D2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004" w:rsidRDefault="00D22004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004" w:rsidRDefault="00ED20D2" w:rsidP="00D22004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D22004" w:rsidRDefault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22004" w:rsidRDefault="00D22004" w:rsidP="00D2200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200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22004" w:rsidRPr="00D22004" w:rsidRDefault="00D22004" w:rsidP="00D2200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2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 w:rsidRPr="00D22004">
        <w:rPr>
          <w:rFonts w:ascii="Times New Roman" w:hAnsi="Times New Roman"/>
          <w:color w:val="000000"/>
        </w:rPr>
        <w:t>Правилам возмещения вреда, причиняемого тяжеловесными</w:t>
      </w:r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 xml:space="preserve"> транспортными средствами при движении по автомобильным дорогам </w:t>
      </w:r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 xml:space="preserve">общего пользования местного значения </w:t>
      </w:r>
    </w:p>
    <w:p w:rsidR="00114A7C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>Каларского муниципального округа Забайкальского края</w:t>
      </w:r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2393E" w:rsidRPr="00A072E0" w:rsidRDefault="00275E6F" w:rsidP="00D220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072E0">
        <w:rPr>
          <w:b/>
          <w:color w:val="000000"/>
          <w:sz w:val="28"/>
          <w:szCs w:val="28"/>
        </w:rPr>
        <w:t xml:space="preserve">Показатели </w:t>
      </w:r>
    </w:p>
    <w:p w:rsidR="00F2393E" w:rsidRPr="00A072E0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размера</w:t>
      </w:r>
      <w:r w:rsidR="00F2393E" w:rsidRPr="00A072E0">
        <w:rPr>
          <w:rFonts w:ascii="Times New Roman" w:hAnsi="Times New Roman"/>
          <w:b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Pr="00A072E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2393E" w:rsidRPr="00A072E0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</w:p>
    <w:p w:rsidR="00335A5A" w:rsidRPr="00A072E0" w:rsidRDefault="00335A5A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A5A" w:rsidRPr="00ED20D2" w:rsidRDefault="00B87CA9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0D2">
        <w:rPr>
          <w:rFonts w:ascii="Times New Roman" w:hAnsi="Times New Roman"/>
          <w:sz w:val="28"/>
          <w:szCs w:val="28"/>
        </w:rPr>
        <w:t xml:space="preserve">Таблица 1 - </w:t>
      </w:r>
      <w:r w:rsidR="00335A5A" w:rsidRPr="00ED20D2">
        <w:rPr>
          <w:rFonts w:ascii="Times New Roman" w:hAnsi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 вследствие превышения допустимой массы транспортного средства</w:t>
      </w:r>
    </w:p>
    <w:p w:rsidR="00335A5A" w:rsidRPr="00ED20D2" w:rsidRDefault="00335A5A" w:rsidP="00A072E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38"/>
      </w:tblGrid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допустимой массы транспортного средства, %</w:t>
            </w:r>
          </w:p>
        </w:tc>
        <w:tc>
          <w:tcPr>
            <w:tcW w:w="7338" w:type="dxa"/>
            <w:shd w:val="clear" w:color="auto" w:fill="auto"/>
          </w:tcPr>
          <w:p w:rsidR="00ED20D2" w:rsidRDefault="00ED20D2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2269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3246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3571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3897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</w:t>
            </w:r>
            <w:r w:rsidR="00B87CA9" w:rsidRPr="00ED20D2">
              <w:rPr>
                <w:rFonts w:ascii="Times New Roman" w:hAnsi="Times New Roman"/>
                <w:sz w:val="28"/>
                <w:szCs w:val="28"/>
              </w:rPr>
              <w:t>ми, осуществляющими перевозки тяжеловесных грузов, утвержденных постановлением Правительства Российской Федерации от 31 января 2020 года №</w:t>
            </w:r>
            <w:r w:rsidR="00ED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CA9" w:rsidRPr="00ED20D2">
              <w:rPr>
                <w:rFonts w:ascii="Times New Roman" w:hAnsi="Times New Roman"/>
                <w:sz w:val="28"/>
                <w:szCs w:val="28"/>
              </w:rPr>
      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</w:tr>
    </w:tbl>
    <w:p w:rsidR="00ED20D2" w:rsidRDefault="00ED20D2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7CA9" w:rsidRPr="00ED20D2" w:rsidRDefault="00B87CA9" w:rsidP="00D2200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0D2">
        <w:rPr>
          <w:rFonts w:ascii="Times New Roman" w:hAnsi="Times New Roman"/>
          <w:sz w:val="28"/>
          <w:szCs w:val="28"/>
        </w:rPr>
        <w:lastRenderedPageBreak/>
        <w:t>Таблица 2 - Размер вреда, причиняемого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края, рассчитанным на нормативную (расчетную) осевую нагрузку 6 тонн/ось, 10 тонн/ось, 11,5 тонн/ось, вследствие превышения допустимой массы транспортного средства</w:t>
      </w:r>
    </w:p>
    <w:p w:rsidR="00B87CA9" w:rsidRPr="00ED20D2" w:rsidRDefault="00B87CA9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66"/>
        <w:gridCol w:w="1843"/>
        <w:gridCol w:w="1809"/>
      </w:tblGrid>
      <w:tr w:rsidR="00B87CA9" w:rsidRPr="00ED20D2" w:rsidTr="00DC21B2">
        <w:trPr>
          <w:trHeight w:val="325"/>
        </w:trPr>
        <w:tc>
          <w:tcPr>
            <w:tcW w:w="2235" w:type="dxa"/>
            <w:vMerge w:val="restart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допустимых осевых нагрузок на ось транспортного средства, %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9E21AD" w:rsidRPr="00ED20D2" w:rsidTr="00DC21B2">
        <w:trPr>
          <w:trHeight w:val="450"/>
        </w:trPr>
        <w:tc>
          <w:tcPr>
            <w:tcW w:w="2235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5518" w:type="dxa"/>
            <w:gridSpan w:val="3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твердым типом покрытия</w:t>
            </w:r>
          </w:p>
        </w:tc>
      </w:tr>
      <w:tr w:rsidR="009E21AD" w:rsidRPr="00ED20D2" w:rsidTr="00DC21B2">
        <w:trPr>
          <w:trHeight w:val="589"/>
        </w:trPr>
        <w:tc>
          <w:tcPr>
            <w:tcW w:w="2235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 тонн/ось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 тонн/ось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11,5 тонн/ось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3337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6629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1707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3789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7853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1057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9812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4366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4857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12484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6597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5447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15850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9409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3196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6066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19899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12792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4279</w:t>
            </w:r>
          </w:p>
        </w:tc>
      </w:tr>
      <w:tr w:rsidR="00B653D4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</w:tr>
    </w:tbl>
    <w:p w:rsidR="00B87CA9" w:rsidRPr="00ED20D2" w:rsidRDefault="00B87CA9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3D4" w:rsidRPr="00DC21B2" w:rsidRDefault="00B653D4" w:rsidP="00D2200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1B2">
        <w:rPr>
          <w:rFonts w:ascii="Times New Roman" w:hAnsi="Times New Roman"/>
          <w:sz w:val="28"/>
          <w:szCs w:val="28"/>
        </w:rPr>
        <w:t xml:space="preserve">Таблица </w:t>
      </w:r>
      <w:r w:rsidR="00A072E0" w:rsidRPr="00DC21B2">
        <w:rPr>
          <w:rFonts w:ascii="Times New Roman" w:hAnsi="Times New Roman"/>
          <w:sz w:val="28"/>
          <w:szCs w:val="28"/>
        </w:rPr>
        <w:t>3</w:t>
      </w:r>
      <w:r w:rsidRPr="00DC21B2">
        <w:rPr>
          <w:rFonts w:ascii="Times New Roman" w:hAnsi="Times New Roman"/>
          <w:sz w:val="28"/>
          <w:szCs w:val="28"/>
        </w:rPr>
        <w:t xml:space="preserve"> - Размер вреда, причиняемого в период временных ограничений движения в связи с неблагоприятными климатическими условиями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края, рассчитанным на </w:t>
      </w:r>
      <w:r w:rsidRPr="00DC21B2">
        <w:rPr>
          <w:rFonts w:ascii="Times New Roman" w:hAnsi="Times New Roman"/>
          <w:sz w:val="28"/>
          <w:szCs w:val="28"/>
        </w:rPr>
        <w:lastRenderedPageBreak/>
        <w:t>нормативную (расчетную) осевую нагрузку 6 тонн/ось, 10 тонн/ось, 11,5 тонн/ось, вследствие превышения допустимой массы транспортного средства</w:t>
      </w:r>
    </w:p>
    <w:p w:rsidR="00B653D4" w:rsidRPr="00ED20D2" w:rsidRDefault="00B653D4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24"/>
        <w:gridCol w:w="1843"/>
        <w:gridCol w:w="1809"/>
      </w:tblGrid>
      <w:tr w:rsidR="009E21AD" w:rsidRPr="00ED20D2" w:rsidTr="00DC21B2">
        <w:trPr>
          <w:trHeight w:val="325"/>
        </w:trPr>
        <w:tc>
          <w:tcPr>
            <w:tcW w:w="2235" w:type="dxa"/>
            <w:vMerge w:val="restart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допустимых осевых нагрузок на ось транспортного средства, %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9E21AD" w:rsidRPr="00ED20D2" w:rsidTr="00DC21B2">
        <w:trPr>
          <w:trHeight w:val="450"/>
        </w:trPr>
        <w:tc>
          <w:tcPr>
            <w:tcW w:w="2235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5376" w:type="dxa"/>
            <w:gridSpan w:val="3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твердым типом покрытия</w:t>
            </w:r>
          </w:p>
        </w:tc>
      </w:tr>
      <w:tr w:rsidR="009E21AD" w:rsidRPr="00ED20D2" w:rsidTr="00DC21B2">
        <w:trPr>
          <w:trHeight w:val="589"/>
        </w:trPr>
        <w:tc>
          <w:tcPr>
            <w:tcW w:w="2235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 тонн/ось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 тонн/ось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11,5 тонн/ось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9533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18941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4877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10825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22437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7798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3019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12289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28036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12475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4516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13876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35667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18850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6558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15563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45285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26884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9130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17333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56853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36548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12225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</w:tr>
    </w:tbl>
    <w:p w:rsidR="00121657" w:rsidRDefault="00121657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Pr="00DC21B2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sectPr w:rsidR="00D22004" w:rsidRPr="00DC21B2" w:rsidSect="00D22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E6" w:rsidRDefault="009F2BE6" w:rsidP="00BA6C09">
      <w:pPr>
        <w:spacing w:after="0" w:line="240" w:lineRule="auto"/>
      </w:pPr>
      <w:r>
        <w:separator/>
      </w:r>
    </w:p>
  </w:endnote>
  <w:endnote w:type="continuationSeparator" w:id="0">
    <w:p w:rsidR="009F2BE6" w:rsidRDefault="009F2BE6" w:rsidP="00B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E6" w:rsidRDefault="009F2BE6" w:rsidP="00BA6C09">
      <w:pPr>
        <w:spacing w:after="0" w:line="240" w:lineRule="auto"/>
      </w:pPr>
      <w:r>
        <w:separator/>
      </w:r>
    </w:p>
  </w:footnote>
  <w:footnote w:type="continuationSeparator" w:id="0">
    <w:p w:rsidR="009F2BE6" w:rsidRDefault="009F2BE6" w:rsidP="00BA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D"/>
    <w:rsid w:val="00013048"/>
    <w:rsid w:val="00033CBE"/>
    <w:rsid w:val="00042BAE"/>
    <w:rsid w:val="00063417"/>
    <w:rsid w:val="00072FE8"/>
    <w:rsid w:val="000924A5"/>
    <w:rsid w:val="000C7C32"/>
    <w:rsid w:val="00114A7C"/>
    <w:rsid w:val="00121657"/>
    <w:rsid w:val="00130CDF"/>
    <w:rsid w:val="00144C73"/>
    <w:rsid w:val="00163CCB"/>
    <w:rsid w:val="001A0F57"/>
    <w:rsid w:val="001D7518"/>
    <w:rsid w:val="00210679"/>
    <w:rsid w:val="00231C2E"/>
    <w:rsid w:val="00252029"/>
    <w:rsid w:val="00263446"/>
    <w:rsid w:val="00275E6F"/>
    <w:rsid w:val="002A4696"/>
    <w:rsid w:val="002E0B83"/>
    <w:rsid w:val="002F5E2A"/>
    <w:rsid w:val="003116ED"/>
    <w:rsid w:val="003264F1"/>
    <w:rsid w:val="00335A5A"/>
    <w:rsid w:val="00355845"/>
    <w:rsid w:val="00367919"/>
    <w:rsid w:val="0037014D"/>
    <w:rsid w:val="0037355F"/>
    <w:rsid w:val="00375EF7"/>
    <w:rsid w:val="003777D9"/>
    <w:rsid w:val="003A5B00"/>
    <w:rsid w:val="003B0FBE"/>
    <w:rsid w:val="003B3594"/>
    <w:rsid w:val="003B76CC"/>
    <w:rsid w:val="003F5A30"/>
    <w:rsid w:val="00417E0D"/>
    <w:rsid w:val="00435256"/>
    <w:rsid w:val="004414B4"/>
    <w:rsid w:val="004824E1"/>
    <w:rsid w:val="004A59B1"/>
    <w:rsid w:val="00512419"/>
    <w:rsid w:val="00524741"/>
    <w:rsid w:val="00527680"/>
    <w:rsid w:val="00563CEA"/>
    <w:rsid w:val="005D665D"/>
    <w:rsid w:val="00604707"/>
    <w:rsid w:val="00626424"/>
    <w:rsid w:val="0063686A"/>
    <w:rsid w:val="00640C6B"/>
    <w:rsid w:val="0065737D"/>
    <w:rsid w:val="00662147"/>
    <w:rsid w:val="00667DF4"/>
    <w:rsid w:val="006702F7"/>
    <w:rsid w:val="0069109D"/>
    <w:rsid w:val="006F6BCD"/>
    <w:rsid w:val="00724CC3"/>
    <w:rsid w:val="00733DFC"/>
    <w:rsid w:val="0074009A"/>
    <w:rsid w:val="00743D0A"/>
    <w:rsid w:val="00777D28"/>
    <w:rsid w:val="007B26FA"/>
    <w:rsid w:val="007B5952"/>
    <w:rsid w:val="007C07CB"/>
    <w:rsid w:val="007C7643"/>
    <w:rsid w:val="00814DD4"/>
    <w:rsid w:val="00815E3D"/>
    <w:rsid w:val="008177F9"/>
    <w:rsid w:val="00823223"/>
    <w:rsid w:val="008327F9"/>
    <w:rsid w:val="0085438E"/>
    <w:rsid w:val="00854896"/>
    <w:rsid w:val="0086464C"/>
    <w:rsid w:val="00882A8B"/>
    <w:rsid w:val="00887658"/>
    <w:rsid w:val="0090209D"/>
    <w:rsid w:val="009417F9"/>
    <w:rsid w:val="00953ED8"/>
    <w:rsid w:val="009548F0"/>
    <w:rsid w:val="00966D05"/>
    <w:rsid w:val="009D272D"/>
    <w:rsid w:val="009E21AD"/>
    <w:rsid w:val="009E3653"/>
    <w:rsid w:val="009F2BE6"/>
    <w:rsid w:val="00A072E0"/>
    <w:rsid w:val="00A1519A"/>
    <w:rsid w:val="00A16948"/>
    <w:rsid w:val="00A16F50"/>
    <w:rsid w:val="00A46239"/>
    <w:rsid w:val="00A637A1"/>
    <w:rsid w:val="00A65925"/>
    <w:rsid w:val="00A70E65"/>
    <w:rsid w:val="00A812E4"/>
    <w:rsid w:val="00AA51E8"/>
    <w:rsid w:val="00AC5A40"/>
    <w:rsid w:val="00B07B1C"/>
    <w:rsid w:val="00B26C6D"/>
    <w:rsid w:val="00B4074C"/>
    <w:rsid w:val="00B52D1A"/>
    <w:rsid w:val="00B653D4"/>
    <w:rsid w:val="00B84021"/>
    <w:rsid w:val="00B87CA9"/>
    <w:rsid w:val="00BA6C09"/>
    <w:rsid w:val="00BD0489"/>
    <w:rsid w:val="00C14B5B"/>
    <w:rsid w:val="00C83A73"/>
    <w:rsid w:val="00C92958"/>
    <w:rsid w:val="00CA1852"/>
    <w:rsid w:val="00CB1A9B"/>
    <w:rsid w:val="00CB6075"/>
    <w:rsid w:val="00CF4900"/>
    <w:rsid w:val="00CF7FF8"/>
    <w:rsid w:val="00D103CA"/>
    <w:rsid w:val="00D22004"/>
    <w:rsid w:val="00D223D7"/>
    <w:rsid w:val="00D24A00"/>
    <w:rsid w:val="00D2664D"/>
    <w:rsid w:val="00D50CBC"/>
    <w:rsid w:val="00D51E79"/>
    <w:rsid w:val="00D945B4"/>
    <w:rsid w:val="00DA4806"/>
    <w:rsid w:val="00DA5986"/>
    <w:rsid w:val="00DA5C69"/>
    <w:rsid w:val="00DC21B2"/>
    <w:rsid w:val="00DF7F1D"/>
    <w:rsid w:val="00E02EBE"/>
    <w:rsid w:val="00E1094A"/>
    <w:rsid w:val="00E11A11"/>
    <w:rsid w:val="00E408B1"/>
    <w:rsid w:val="00E65705"/>
    <w:rsid w:val="00E71F4A"/>
    <w:rsid w:val="00EC3F06"/>
    <w:rsid w:val="00ED20D2"/>
    <w:rsid w:val="00EE2D66"/>
    <w:rsid w:val="00F055CB"/>
    <w:rsid w:val="00F2393E"/>
    <w:rsid w:val="00F572BB"/>
    <w:rsid w:val="00F75F2E"/>
    <w:rsid w:val="00FA156E"/>
    <w:rsid w:val="00FA45F0"/>
    <w:rsid w:val="00FA57F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6910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6910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33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6910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6910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33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201B956A5C9D4FFC869464B32AAE89A03A57D53991733E3A7208F6B93BFA3ED669C36DB471A0965175884C6796E3F2C2F16941023A67AdEy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29C6-155D-4C95-904A-DCB8D3A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1579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2021-09-13T02:52:00Z</cp:lastPrinted>
  <dcterms:created xsi:type="dcterms:W3CDTF">2021-10-04T05:06:00Z</dcterms:created>
  <dcterms:modified xsi:type="dcterms:W3CDTF">2021-10-04T05:06:00Z</dcterms:modified>
</cp:coreProperties>
</file>